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656C7A" w:rsidTr="003C295A">
        <w:tc>
          <w:tcPr>
            <w:tcW w:w="9571" w:type="dxa"/>
            <w:tcBorders>
              <w:bottom w:val="single" w:sz="4" w:space="0" w:color="auto"/>
            </w:tcBorders>
          </w:tcPr>
          <w:p w:rsidR="00656C7A" w:rsidRPr="004B2398" w:rsidRDefault="00656C7A" w:rsidP="003C29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656C7A" w:rsidTr="003C295A">
        <w:tc>
          <w:tcPr>
            <w:tcW w:w="9571" w:type="dxa"/>
            <w:tcBorders>
              <w:top w:val="single" w:sz="4" w:space="0" w:color="auto"/>
            </w:tcBorders>
          </w:tcPr>
          <w:p w:rsidR="00656C7A" w:rsidRPr="004B2398" w:rsidRDefault="00656C7A" w:rsidP="003C2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656C7A" w:rsidRDefault="00656C7A" w:rsidP="00375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C7A" w:rsidRDefault="00656C7A" w:rsidP="00375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выдаче разрешения на строительство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 _____________ 20__ г.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DAE" w:rsidRDefault="00375DAE" w:rsidP="00656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375DAE">
          <w:rPr>
            <w:rFonts w:ascii="Arial" w:hAnsi="Arial" w:cs="Arial"/>
            <w:sz w:val="20"/>
            <w:szCs w:val="20"/>
          </w:rPr>
          <w:t>статьей 51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</w:t>
      </w:r>
      <w:r w:rsidR="00656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Российской Федерации прошу выдать </w:t>
      </w:r>
      <w:r w:rsidR="00656C7A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азрешени</w:t>
      </w:r>
      <w:r w:rsidR="00656C7A">
        <w:rPr>
          <w:rFonts w:ascii="Arial" w:hAnsi="Arial" w:cs="Arial"/>
          <w:sz w:val="20"/>
          <w:szCs w:val="20"/>
        </w:rPr>
        <w:t xml:space="preserve">е </w:t>
      </w:r>
      <w:r>
        <w:rPr>
          <w:rFonts w:ascii="Arial" w:hAnsi="Arial" w:cs="Arial"/>
          <w:sz w:val="20"/>
          <w:szCs w:val="20"/>
        </w:rPr>
        <w:t>на строительство.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Сведения о застройщике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76"/>
        <w:gridCol w:w="4155"/>
      </w:tblGrid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юридическом лице: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Сведения об объекте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4145"/>
      </w:tblGrid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реконструируемого объекта капитального строительства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DAE" w:rsidRDefault="00375DAE" w:rsidP="0037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Сведения о земельном участке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29"/>
        <w:gridCol w:w="4202"/>
      </w:tblGrid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или планируется расположение объекта капитального строительства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(указываются в случаях, предусмотренных </w:t>
            </w:r>
            <w:hyperlink r:id="rId6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частью 7.3 статьи 51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</w:t>
            </w:r>
            <w:hyperlink r:id="rId7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частью 11 статьи 57.3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Градостроительного кодекса Российской Федерации)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09"/>
        <w:gridCol w:w="2112"/>
        <w:gridCol w:w="3167"/>
      </w:tblGrid>
      <w:tr w:rsidR="00375DAE" w:rsidTr="00375D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документа</w:t>
            </w:r>
          </w:p>
        </w:tc>
      </w:tr>
      <w:tr w:rsidR="00375DAE" w:rsidTr="00375D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Типовое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архитектурное решение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для исторического поселения (при наличии)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Положительное заключение экспертизы проектной документации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(указывается в случаях, если проектная документация подлежит экспертизе в соответствии со </w:t>
            </w:r>
            <w:hyperlink r:id="rId8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статьей 49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Градостроительного кодекса Российской Федерации)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(указываются реквизиты приказа об утверждении заключения в случаях, если проектная документация подлежит экологической экспертизе в соответствии со </w:t>
            </w:r>
            <w:hyperlink r:id="rId9" w:history="1">
              <w:r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</w:rPr>
                <w:t>статьей 49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Градостроительного кодекса Российской Федерации)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________________________________________________________________________________</w:t>
      </w:r>
    </w:p>
    <w:p w:rsidR="00375DAE" w:rsidRDefault="00375DAE" w:rsidP="00375DA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Номер телефона и адрес электронной почты для связи: ____________________________________________</w:t>
      </w:r>
    </w:p>
    <w:p w:rsidR="00375DAE" w:rsidRDefault="00375DAE" w:rsidP="00375DAE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предоставления услуги прошу:</w:t>
      </w: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1"/>
        <w:gridCol w:w="4297"/>
      </w:tblGrid>
      <w:tr w:rsidR="00375DAE" w:rsidTr="00375DA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бумажном носителе при личном обращении в Департамент в многофункциональный центр предоставления государственных и муниципальных услуг, расположенный по адресу: ____________________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направить на бумажном носителе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почтовый</w:t>
            </w:r>
            <w:proofErr w:type="gramEnd"/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 w:rsidTr="00375DAE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33"/>
        <w:gridCol w:w="4535"/>
      </w:tblGrid>
      <w:tr w:rsidR="00375DAE">
        <w:tc>
          <w:tcPr>
            <w:tcW w:w="3345" w:type="dxa"/>
            <w:tcBorders>
              <w:bottom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DAE">
        <w:tc>
          <w:tcPr>
            <w:tcW w:w="3345" w:type="dxa"/>
            <w:tcBorders>
              <w:top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75DAE" w:rsidRDefault="00375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DAE" w:rsidRDefault="00375DAE" w:rsidP="00375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EF9" w:rsidRDefault="00D44EF9"/>
    <w:sectPr w:rsidR="00D44EF9" w:rsidSect="002E6D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2E"/>
    <w:rsid w:val="00375DAE"/>
    <w:rsid w:val="0046572E"/>
    <w:rsid w:val="00656C7A"/>
    <w:rsid w:val="00D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440BC99DCBF027AEF85C02292E36C8B0C311CBBA6A7A679E943F7470E23A326BFD485E77DC0BA32B5D91C555E284E2BFADF5A935Fu1H5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C440BC99DCBF027AEF85C02292E36C8B0C311CBBA6A7A679E943F7470E23A326BFD485E27BCABA32B5D91C555E284E2BFADF5A935Fu1H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440BC99DCBF027AEF85C02292E36C8B0C311CBBA6A7A679E943F7470E23A326BFD485E775C8BA32B5D91C555E284E2BFADF5A935Fu1H5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C440BC99DCBF027AEF85C02292E36C8B0C311CBBA6A7A679E943F7470E23A326BFD485E57AC2E537A0C8445A5F355028E7C35891u5H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440BC99DCBF027AEF85C02292E36C8B0C311CBBA6A7A679E943F7470E23A326BFD485E77DC0BA32B5D91C555E284E2BFADF5A935Fu1H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3</cp:revision>
  <dcterms:created xsi:type="dcterms:W3CDTF">2023-03-22T23:08:00Z</dcterms:created>
  <dcterms:modified xsi:type="dcterms:W3CDTF">2023-03-22T23:25:00Z</dcterms:modified>
</cp:coreProperties>
</file>